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61" w:rsidRDefault="00402961" w:rsidP="00402961">
      <w:pPr>
        <w:pStyle w:val="NormalWeb"/>
        <w:spacing w:before="150" w:beforeAutospacing="0" w:after="300" w:afterAutospacing="0"/>
        <w:rPr>
          <w:rFonts w:ascii="Verdana" w:hAnsi="Verdana"/>
          <w:b/>
          <w:bCs/>
          <w:color w:val="000000"/>
          <w:sz w:val="18"/>
          <w:szCs w:val="18"/>
        </w:rPr>
      </w:pPr>
      <w:r>
        <w:rPr>
          <w:rFonts w:ascii="Verdana" w:hAnsi="Verdana"/>
          <w:b/>
          <w:bCs/>
          <w:color w:val="000000"/>
          <w:sz w:val="18"/>
          <w:szCs w:val="18"/>
        </w:rPr>
        <w:t xml:space="preserve">ETICA EN EL EJERCICIO DE LA FUNCION </w:t>
      </w:r>
      <w:r>
        <w:rPr>
          <w:rFonts w:ascii="Verdana" w:hAnsi="Verdana"/>
          <w:b/>
          <w:bCs/>
          <w:color w:val="000000"/>
          <w:sz w:val="18"/>
          <w:szCs w:val="18"/>
        </w:rPr>
        <w:t>PÚBLICA</w:t>
      </w:r>
    </w:p>
    <w:p w:rsidR="00402961" w:rsidRDefault="00402961" w:rsidP="00402961">
      <w:pPr>
        <w:pStyle w:val="NormalWeb"/>
        <w:spacing w:before="150" w:beforeAutospacing="0" w:after="300" w:afterAutospacing="0"/>
        <w:rPr>
          <w:rFonts w:ascii="Verdana" w:hAnsi="Verdana"/>
          <w:b/>
          <w:bCs/>
          <w:color w:val="000000"/>
          <w:sz w:val="18"/>
          <w:szCs w:val="18"/>
        </w:rPr>
      </w:pPr>
      <w:r>
        <w:rPr>
          <w:rFonts w:ascii="Verdana" w:hAnsi="Verdana"/>
          <w:b/>
          <w:bCs/>
          <w:color w:val="000000"/>
          <w:sz w:val="18"/>
          <w:szCs w:val="18"/>
        </w:rPr>
        <w:t>Ley 25.188</w:t>
      </w:r>
    </w:p>
    <w:p w:rsidR="00402961" w:rsidRDefault="00402961" w:rsidP="00402961">
      <w:pPr>
        <w:pStyle w:val="NormalWeb"/>
        <w:spacing w:before="150" w:beforeAutospacing="0" w:after="300" w:afterAutospacing="0"/>
        <w:rPr>
          <w:rFonts w:ascii="Verdana" w:hAnsi="Verdana"/>
          <w:b/>
          <w:bCs/>
          <w:color w:val="000000"/>
          <w:sz w:val="18"/>
          <w:szCs w:val="18"/>
        </w:rPr>
      </w:pPr>
      <w:r>
        <w:rPr>
          <w:rFonts w:ascii="Verdana" w:hAnsi="Verdana"/>
          <w:b/>
          <w:bCs/>
          <w:color w:val="000000"/>
          <w:sz w:val="18"/>
          <w:szCs w:val="18"/>
        </w:rPr>
        <w:t xml:space="preserve">Deberes, prohibiciones e incompatibilidades aplicables, sin excepción, a todas las personas que se desempeñen en la función pública en todos sus niveles y jerarquías. Objeto y Sujetos. Deberes y pautas de comportamiento ético. Régimen de declaraciones juradas. Antecedentes. Incompatibilidades y conflicto de intereses. Régimen de obsequios a funcionarios públicos. Prevención sumaria. Comisión Nacional de </w:t>
      </w:r>
      <w:proofErr w:type="spellStart"/>
      <w:r>
        <w:rPr>
          <w:rFonts w:ascii="Verdana" w:hAnsi="Verdana"/>
          <w:b/>
          <w:bCs/>
          <w:color w:val="000000"/>
          <w:sz w:val="18"/>
          <w:szCs w:val="18"/>
        </w:rPr>
        <w:t>Etica</w:t>
      </w:r>
      <w:proofErr w:type="spellEnd"/>
      <w:r>
        <w:rPr>
          <w:rFonts w:ascii="Verdana" w:hAnsi="Verdana"/>
          <w:b/>
          <w:bCs/>
          <w:color w:val="000000"/>
          <w:sz w:val="18"/>
          <w:szCs w:val="18"/>
        </w:rPr>
        <w:t xml:space="preserve"> Pública. Reformas al Código Penal. Publicidad y divulgación.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Sancionada: Septiembre 29 de 1999</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Promulgada: Octubre 26 de 1999</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 xml:space="preserve">LEY DE ETICA DE LA FUNCION </w:t>
      </w:r>
      <w:r>
        <w:rPr>
          <w:rFonts w:ascii="Verdana" w:hAnsi="Verdana"/>
          <w:color w:val="000000"/>
          <w:sz w:val="18"/>
          <w:szCs w:val="18"/>
        </w:rPr>
        <w:t>PÚBLICA</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Objeto y Sujetos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 La presente ley de ética en el ejercicio de la función pública establece un conjunto de deberes, prohibiciones e incompatibilidades aplicables, sin excepción, a todas las personas que se desempeñen en la función pública en todos sus niveles y jerarquías, en forma permanente o transitoria, por elección popular, designación directa, por concurso o por cualquier otro medio legal, extendiéndose su aplicación a todos los magistrados, funcionarios y empleados del Estado.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Se entiende por función pública, toda actividad temporal o permanente, remunerada u honoraria, realizada por una persona en nombre del Estado o al servicio del Estado o de sus entidades, en cualquiera de sus niveles jerárquicos.</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II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Deberes y pautas de comportamiento ético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 Los sujetos comprendidos en esta ley se encuentran obligados a cumplir con los siguientes deberes y pautas de comportamiento ético: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 Cumplir y hacer cumplir estrictamente Constitución Nacional, las leyes y los reglamentos que en su consecuencia se dicten y defender el sistema republicano y democrático de gobierno;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b) Desempeñarse con la observancia y respeto de los principios y pautas éticas establecidas en la presente ley: honestidad, probidad, rectitud, buena fe y austeridad republicana;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c) Velar en todos sus actos por los intereses del Estado, orientados a la satisfacción del bienestar general, privilegiando de esa manera el interés público sobre el particular;</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d) No recibir ningún beneficio personal indebido vinculado a la realización, retardo u omisión de un acto inherente a sus funciones, ni imponer condiciones especiales que deriven en ello;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 Fundar sus actos y mostrar la mayor transparencia en las decisiones adoptadas sin restringir información, a menos que una norma o el interés público claramente lo exijan;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f) Proteger y conservar la propiedad del Estado y sólo emplear sus bienes con los fines autorizados. Abstenerse de utilizar información adquirida en el cumplimiento de sus funciones para realizar actividades no relacionadas con sus tareas oficiales o de permitir su uso en beneficio de intereses privados;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g) Abstenerse de usar las instalaciones y servicios del Estado para su beneficio particular o para el de sus familiares, allegados o personas ajenas a la función oficial, a fin de avalar o promover algún producto, servicio o empresa;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h) Observar en los procedimientos de contrataciones públicas en los que intervengan los principios de publicidad, igualdad, concurrencia razonabilidad;</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lastRenderedPageBreak/>
        <w:t>i) Abstenerse de intervenir en todo asunto respecto al cual se encuentre comprendido en alguna de las causas de excusación previstas en ley procesal civil.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 — Todos los sujetos comprendidos en el artículo 1º deberán observar como requisito de permanencia en el cargo, una conducta acorde con la ética pública en el ejercicio de sus funciones. Si así no lo hicieren serán sancionados o removidos por los procedimientos establecidos en el régimen propio de su función.</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III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Régimen de declaraciones juradas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 — Las personas referidas en artículo 5º de la presente ley, deberán presentar una declaración jurada patrimonial integral dentro de los treinta días hábiles desde la asunción de sus cargos.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Asimismo, deberán actualizar la información contenida en esa declaración jurada anualmente y presentar una última declaración, dentro de los treinta días hábiles desde la fecha de cesación en el cargo.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i/>
          <w:iCs/>
          <w:color w:val="000000"/>
          <w:sz w:val="18"/>
          <w:szCs w:val="18"/>
        </w:rPr>
        <w:t>(</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i/>
          <w:iCs/>
          <w:color w:val="000000"/>
          <w:sz w:val="18"/>
          <w:szCs w:val="18"/>
        </w:rPr>
        <w:t>: por art. 2° de la </w:t>
      </w:r>
      <w:hyperlink r:id="rId4" w:history="1">
        <w:r>
          <w:rPr>
            <w:rStyle w:val="Hipervnculo"/>
            <w:rFonts w:ascii="Verdana" w:hAnsi="Verdana"/>
            <w:i/>
            <w:iCs/>
            <w:sz w:val="18"/>
            <w:szCs w:val="18"/>
          </w:rPr>
          <w:t>Resolución N° 10/2017</w:t>
        </w:r>
      </w:hyperlink>
      <w:r>
        <w:rPr>
          <w:rFonts w:ascii="Verdana" w:hAnsi="Verdana"/>
          <w:i/>
          <w:iCs/>
          <w:color w:val="000000"/>
          <w:sz w:val="18"/>
          <w:szCs w:val="18"/>
        </w:rPr>
        <w:t xml:space="preserve"> de la Secretaría de </w:t>
      </w:r>
      <w:proofErr w:type="spellStart"/>
      <w:r>
        <w:rPr>
          <w:rFonts w:ascii="Verdana" w:hAnsi="Verdana"/>
          <w:i/>
          <w:iCs/>
          <w:color w:val="000000"/>
          <w:sz w:val="18"/>
          <w:szCs w:val="18"/>
        </w:rPr>
        <w:t>Etica</w:t>
      </w:r>
      <w:proofErr w:type="spellEnd"/>
      <w:r>
        <w:rPr>
          <w:rFonts w:ascii="Verdana" w:hAnsi="Verdana"/>
          <w:i/>
          <w:iCs/>
          <w:color w:val="000000"/>
          <w:sz w:val="18"/>
          <w:szCs w:val="18"/>
        </w:rPr>
        <w:t xml:space="preserve"> Pública, Transparencia y Lucha Contra la Corrupción B.O. 8/5/2017 se establece que el plazo de 30 días hábiles dispuesto por el presente artículo para la presentación de las Declaraciones Juradas Patrimoniales Iniciales, comenzará a computarse a partir de habilitación de los formularios de carga por parte de la Administración Federal de Ingresos Públicos.)</w:t>
      </w:r>
      <w:r>
        <w:rPr>
          <w:rFonts w:ascii="Verdana" w:hAnsi="Verdana"/>
          <w:i/>
          <w:iCs/>
          <w:color w:val="000000"/>
          <w:sz w:val="18"/>
          <w:szCs w:val="18"/>
        </w:rPr>
        <w:br/>
      </w:r>
      <w:r>
        <w:rPr>
          <w:rFonts w:ascii="Verdana" w:hAnsi="Verdana"/>
          <w:i/>
          <w:iCs/>
          <w:color w:val="000000"/>
          <w:sz w:val="18"/>
          <w:szCs w:val="18"/>
        </w:rPr>
        <w:br/>
        <w:t>(</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i/>
          <w:iCs/>
          <w:color w:val="000000"/>
          <w:sz w:val="18"/>
          <w:szCs w:val="18"/>
        </w:rPr>
        <w:t>: por art. 1° de la </w:t>
      </w:r>
      <w:hyperlink r:id="rId5" w:history="1">
        <w:r>
          <w:rPr>
            <w:rStyle w:val="Hipervnculo"/>
            <w:rFonts w:ascii="Verdana" w:hAnsi="Verdana"/>
            <w:i/>
            <w:iCs/>
            <w:sz w:val="18"/>
            <w:szCs w:val="18"/>
          </w:rPr>
          <w:t>Resolución N° 10/2017</w:t>
        </w:r>
      </w:hyperlink>
      <w:r>
        <w:rPr>
          <w:rFonts w:ascii="Verdana" w:hAnsi="Verdana"/>
          <w:i/>
          <w:iCs/>
          <w:color w:val="000000"/>
          <w:sz w:val="18"/>
          <w:szCs w:val="18"/>
        </w:rPr>
        <w:t xml:space="preserve"> de la Secretaría de </w:t>
      </w:r>
      <w:proofErr w:type="spellStart"/>
      <w:r>
        <w:rPr>
          <w:rFonts w:ascii="Verdana" w:hAnsi="Verdana"/>
          <w:i/>
          <w:iCs/>
          <w:color w:val="000000"/>
          <w:sz w:val="18"/>
          <w:szCs w:val="18"/>
        </w:rPr>
        <w:t>Etica</w:t>
      </w:r>
      <w:proofErr w:type="spellEnd"/>
      <w:r>
        <w:rPr>
          <w:rFonts w:ascii="Verdana" w:hAnsi="Verdana"/>
          <w:i/>
          <w:iCs/>
          <w:color w:val="000000"/>
          <w:sz w:val="18"/>
          <w:szCs w:val="18"/>
        </w:rPr>
        <w:t xml:space="preserve"> Pública, Transparencia y Lucha Contra la Corrupción B.O. 8/5/2017 se prorroga hasta el día 31 de julio de 2017 el plazo de vencimiento para la presentación de las Declaraciones Juradas Patrimoniales Integrales correspondientes a las obligaciones Anuales y Bajas 2016.)</w:t>
      </w:r>
    </w:p>
    <w:p w:rsidR="00402961" w:rsidRDefault="00402961" w:rsidP="00402961">
      <w:pPr>
        <w:pStyle w:val="NormalWeb"/>
        <w:spacing w:before="150" w:beforeAutospacing="0" w:after="300" w:afterAutospacing="0"/>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 Quedan comprendidos en la obligación de presentar la declaración jurada:</w:t>
      </w:r>
      <w:r>
        <w:rPr>
          <w:rFonts w:ascii="Verdana" w:hAnsi="Verdana"/>
          <w:color w:val="000000"/>
          <w:sz w:val="18"/>
          <w:szCs w:val="18"/>
        </w:rPr>
        <w:br/>
      </w:r>
      <w:r>
        <w:rPr>
          <w:rFonts w:ascii="Verdana" w:hAnsi="Verdana"/>
          <w:color w:val="000000"/>
          <w:sz w:val="18"/>
          <w:szCs w:val="18"/>
        </w:rPr>
        <w:br/>
        <w:t>a) El presidente y vicepresidente de la Nación;</w:t>
      </w:r>
      <w:r>
        <w:rPr>
          <w:rFonts w:ascii="Verdana" w:hAnsi="Verdana"/>
          <w:color w:val="000000"/>
          <w:sz w:val="18"/>
          <w:szCs w:val="18"/>
        </w:rPr>
        <w:br/>
      </w:r>
      <w:r>
        <w:rPr>
          <w:rFonts w:ascii="Verdana" w:hAnsi="Verdana"/>
          <w:color w:val="000000"/>
          <w:sz w:val="18"/>
          <w:szCs w:val="18"/>
        </w:rPr>
        <w:br/>
        <w:t>b) Los senadores y diputados de la Nación;</w:t>
      </w:r>
      <w:r>
        <w:rPr>
          <w:rFonts w:ascii="Verdana" w:hAnsi="Verdana"/>
          <w:color w:val="000000"/>
          <w:sz w:val="18"/>
          <w:szCs w:val="18"/>
        </w:rPr>
        <w:br/>
      </w:r>
      <w:r>
        <w:rPr>
          <w:rFonts w:ascii="Verdana" w:hAnsi="Verdana"/>
          <w:color w:val="000000"/>
          <w:sz w:val="18"/>
          <w:szCs w:val="18"/>
        </w:rPr>
        <w:br/>
        <w:t>c) Los magistrados del Poder Judicial de la Nación;</w:t>
      </w:r>
      <w:r>
        <w:rPr>
          <w:rFonts w:ascii="Verdana" w:hAnsi="Verdana"/>
          <w:color w:val="000000"/>
          <w:sz w:val="18"/>
          <w:szCs w:val="18"/>
        </w:rPr>
        <w:br/>
      </w:r>
      <w:r>
        <w:rPr>
          <w:rFonts w:ascii="Verdana" w:hAnsi="Verdana"/>
          <w:color w:val="000000"/>
          <w:sz w:val="18"/>
          <w:szCs w:val="18"/>
        </w:rPr>
        <w:br/>
        <w:t>d) Los magistrados del Ministerio Público de la Nación;</w:t>
      </w:r>
      <w:r>
        <w:rPr>
          <w:rFonts w:ascii="Verdana" w:hAnsi="Verdana"/>
          <w:color w:val="000000"/>
          <w:sz w:val="18"/>
          <w:szCs w:val="18"/>
        </w:rPr>
        <w:br/>
      </w:r>
      <w:r>
        <w:rPr>
          <w:rFonts w:ascii="Verdana" w:hAnsi="Verdana"/>
          <w:color w:val="000000"/>
          <w:sz w:val="18"/>
          <w:szCs w:val="18"/>
        </w:rPr>
        <w:br/>
        <w:t>e) El Defensor del Pueblo de la Nación y los adjuntos del Defensor del Pueblo;</w:t>
      </w:r>
      <w:r>
        <w:rPr>
          <w:rFonts w:ascii="Verdana" w:hAnsi="Verdana"/>
          <w:color w:val="000000"/>
          <w:sz w:val="18"/>
          <w:szCs w:val="18"/>
        </w:rPr>
        <w:br/>
      </w:r>
      <w:r>
        <w:rPr>
          <w:rFonts w:ascii="Verdana" w:hAnsi="Verdana"/>
          <w:color w:val="000000"/>
          <w:sz w:val="18"/>
          <w:szCs w:val="18"/>
        </w:rPr>
        <w:br/>
        <w:t>f) El Jefe de Gabinete de Ministros, los ministros, secretarios y subsecretarios del Poder Ejecutivo nacional;</w:t>
      </w:r>
      <w:r>
        <w:rPr>
          <w:rFonts w:ascii="Verdana" w:hAnsi="Verdana"/>
          <w:color w:val="000000"/>
          <w:sz w:val="18"/>
          <w:szCs w:val="18"/>
        </w:rPr>
        <w:br/>
      </w:r>
      <w:bookmarkStart w:id="0" w:name="_GoBack"/>
      <w:bookmarkEnd w:id="0"/>
      <w:r>
        <w:rPr>
          <w:rFonts w:ascii="Verdana" w:hAnsi="Verdana"/>
          <w:color w:val="000000"/>
          <w:sz w:val="18"/>
          <w:szCs w:val="18"/>
        </w:rPr>
        <w:br/>
        <w:t>g) Los interventores federales;</w:t>
      </w:r>
      <w:r>
        <w:rPr>
          <w:rFonts w:ascii="Verdana" w:hAnsi="Verdana"/>
          <w:color w:val="000000"/>
          <w:sz w:val="18"/>
          <w:szCs w:val="18"/>
        </w:rPr>
        <w:br/>
      </w:r>
      <w:r>
        <w:rPr>
          <w:rFonts w:ascii="Verdana" w:hAnsi="Verdana"/>
          <w:color w:val="000000"/>
          <w:sz w:val="18"/>
          <w:szCs w:val="18"/>
        </w:rPr>
        <w:br/>
        <w:t>h)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r>
        <w:rPr>
          <w:rFonts w:ascii="Verdana" w:hAnsi="Verdana"/>
          <w:color w:val="000000"/>
          <w:sz w:val="18"/>
          <w:szCs w:val="18"/>
        </w:rPr>
        <w:br/>
      </w:r>
      <w:r>
        <w:rPr>
          <w:rFonts w:ascii="Verdana" w:hAnsi="Verdana"/>
          <w:color w:val="000000"/>
          <w:sz w:val="18"/>
          <w:szCs w:val="18"/>
        </w:rPr>
        <w:br/>
        <w:t>i) Los miembros del Consejo de la Magistratura y del jurado de enjuiciamiento;</w:t>
      </w:r>
      <w:r>
        <w:rPr>
          <w:rFonts w:ascii="Verdana" w:hAnsi="Verdana"/>
          <w:color w:val="000000"/>
          <w:sz w:val="18"/>
          <w:szCs w:val="18"/>
        </w:rPr>
        <w:br/>
      </w:r>
      <w:r>
        <w:rPr>
          <w:rFonts w:ascii="Verdana" w:hAnsi="Verdana"/>
          <w:color w:val="000000"/>
          <w:sz w:val="18"/>
          <w:szCs w:val="18"/>
        </w:rPr>
        <w:br/>
        <w:t>j) Los embajadores, cónsules y funcionarios destacados en misión oficial permanente en el exterior;</w:t>
      </w:r>
      <w:r>
        <w:rPr>
          <w:rFonts w:ascii="Verdana" w:hAnsi="Verdana"/>
          <w:color w:val="000000"/>
          <w:sz w:val="18"/>
          <w:szCs w:val="18"/>
        </w:rPr>
        <w:br/>
      </w:r>
      <w:r>
        <w:rPr>
          <w:rFonts w:ascii="Verdana" w:hAnsi="Verdana"/>
          <w:color w:val="000000"/>
          <w:sz w:val="18"/>
          <w:szCs w:val="18"/>
        </w:rPr>
        <w:br/>
        <w:t>k) El personal en actividad de las fuerzas armadas, de la Policía Federal Argentina, de la Policía de Seguridad Aeroportuaria, de la Gendarmería Nacional, de la Prefectura Naval Argentina y del Servicio Penitenciario Federal, con jerarquía no menor de coronel o equivalente;</w:t>
      </w:r>
      <w:r>
        <w:rPr>
          <w:rFonts w:ascii="Verdana" w:hAnsi="Verdana"/>
          <w:color w:val="000000"/>
          <w:sz w:val="18"/>
          <w:szCs w:val="18"/>
        </w:rPr>
        <w:br/>
      </w:r>
      <w:r>
        <w:rPr>
          <w:rFonts w:ascii="Verdana" w:hAnsi="Verdana"/>
          <w:color w:val="000000"/>
          <w:sz w:val="18"/>
          <w:szCs w:val="18"/>
        </w:rPr>
        <w:br/>
        <w:t>l) Los    rectores,    decanos    y secretarios de las universidades nacionales;</w:t>
      </w:r>
      <w:r>
        <w:rPr>
          <w:rFonts w:ascii="Verdana" w:hAnsi="Verdana"/>
          <w:color w:val="000000"/>
          <w:sz w:val="18"/>
          <w:szCs w:val="18"/>
        </w:rPr>
        <w:br/>
      </w:r>
      <w:r>
        <w:rPr>
          <w:rFonts w:ascii="Verdana" w:hAnsi="Verdana"/>
          <w:color w:val="000000"/>
          <w:sz w:val="18"/>
          <w:szCs w:val="18"/>
        </w:rPr>
        <w:br/>
        <w:t>m) Los funcionarios o empleados con categoría o función no inferior a la de director o equivalente,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r>
        <w:rPr>
          <w:rFonts w:ascii="Verdana" w:hAnsi="Verdana"/>
          <w:color w:val="000000"/>
          <w:sz w:val="18"/>
          <w:szCs w:val="18"/>
        </w:rPr>
        <w:br/>
      </w:r>
      <w:r>
        <w:rPr>
          <w:rFonts w:ascii="Verdana" w:hAnsi="Verdana"/>
          <w:color w:val="000000"/>
          <w:sz w:val="18"/>
          <w:szCs w:val="18"/>
        </w:rPr>
        <w:br/>
        <w:t>n) Los funcionarios colaboradores de interventores federales, con categoría o función no inferior a la de director o equivalente;</w:t>
      </w:r>
      <w:r>
        <w:rPr>
          <w:rFonts w:ascii="Verdana" w:hAnsi="Verdana"/>
          <w:color w:val="000000"/>
          <w:sz w:val="18"/>
          <w:szCs w:val="18"/>
        </w:rPr>
        <w:br/>
      </w:r>
      <w:r>
        <w:rPr>
          <w:rFonts w:ascii="Verdana" w:hAnsi="Verdana"/>
          <w:color w:val="000000"/>
          <w:sz w:val="18"/>
          <w:szCs w:val="18"/>
        </w:rPr>
        <w:lastRenderedPageBreak/>
        <w:br/>
        <w:t>o) El personal de los organismos indicados en el inciso h) del presente artículo, con categoría no inferior a la de director o equivalente;</w:t>
      </w:r>
      <w:r>
        <w:rPr>
          <w:rFonts w:ascii="Verdana" w:hAnsi="Verdana"/>
          <w:color w:val="000000"/>
          <w:sz w:val="18"/>
          <w:szCs w:val="18"/>
        </w:rPr>
        <w:br/>
      </w:r>
      <w:r>
        <w:rPr>
          <w:rFonts w:ascii="Verdana" w:hAnsi="Verdana"/>
          <w:color w:val="000000"/>
          <w:sz w:val="18"/>
          <w:szCs w:val="18"/>
        </w:rPr>
        <w:br/>
        <w:t>p)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r>
        <w:rPr>
          <w:rFonts w:ascii="Verdana" w:hAnsi="Verdana"/>
          <w:color w:val="000000"/>
          <w:sz w:val="18"/>
          <w:szCs w:val="18"/>
        </w:rPr>
        <w:br/>
      </w:r>
      <w:r>
        <w:rPr>
          <w:rFonts w:ascii="Verdana" w:hAnsi="Verdana"/>
          <w:color w:val="000000"/>
          <w:sz w:val="18"/>
          <w:szCs w:val="18"/>
        </w:rPr>
        <w:br/>
        <w:t>q) Los funcionarios que integran los organismos de control de los servicios públicos privatizados, con categoría no inferior a la de director;</w:t>
      </w:r>
      <w:r>
        <w:rPr>
          <w:rFonts w:ascii="Verdana" w:hAnsi="Verdana"/>
          <w:color w:val="000000"/>
          <w:sz w:val="18"/>
          <w:szCs w:val="18"/>
        </w:rPr>
        <w:br/>
      </w:r>
      <w:r>
        <w:rPr>
          <w:rFonts w:ascii="Verdana" w:hAnsi="Verdana"/>
          <w:color w:val="000000"/>
          <w:sz w:val="18"/>
          <w:szCs w:val="18"/>
        </w:rPr>
        <w:br/>
        <w:t>r) El personal que se desempeña en el Poder Legislativo, con categoría no inferior a la de director;</w:t>
      </w:r>
      <w:r>
        <w:rPr>
          <w:rFonts w:ascii="Verdana" w:hAnsi="Verdana"/>
          <w:color w:val="000000"/>
          <w:sz w:val="18"/>
          <w:szCs w:val="18"/>
        </w:rPr>
        <w:br/>
      </w:r>
      <w:r>
        <w:rPr>
          <w:rFonts w:ascii="Verdana" w:hAnsi="Verdana"/>
          <w:color w:val="000000"/>
          <w:sz w:val="18"/>
          <w:szCs w:val="18"/>
        </w:rPr>
        <w:br/>
        <w:t>s) El personal que cumpla servicios en el Poder Judicial de la Nación y en el Ministerio Público de la Nación, con categoría no inferior a secretario o equivalente;</w:t>
      </w:r>
      <w:r>
        <w:rPr>
          <w:rFonts w:ascii="Verdana" w:hAnsi="Verdana"/>
          <w:color w:val="000000"/>
          <w:sz w:val="18"/>
          <w:szCs w:val="18"/>
        </w:rPr>
        <w:br/>
      </w:r>
      <w:r>
        <w:rPr>
          <w:rFonts w:ascii="Verdana" w:hAnsi="Verdana"/>
          <w:color w:val="000000"/>
          <w:sz w:val="18"/>
          <w:szCs w:val="18"/>
        </w:rPr>
        <w:br/>
        <w:t>t) Todo funcionario o empleado público que integre comisiones de adjudicación de licitaciones, de compra o de recepción de bienes, o participe en la toma de decisiones de licitaciones o compras;</w:t>
      </w:r>
      <w:r>
        <w:rPr>
          <w:rFonts w:ascii="Verdana" w:hAnsi="Verdana"/>
          <w:color w:val="000000"/>
          <w:sz w:val="18"/>
          <w:szCs w:val="18"/>
        </w:rPr>
        <w:br/>
      </w:r>
      <w:r>
        <w:rPr>
          <w:rFonts w:ascii="Verdana" w:hAnsi="Verdana"/>
          <w:color w:val="000000"/>
          <w:sz w:val="18"/>
          <w:szCs w:val="18"/>
        </w:rPr>
        <w:br/>
        <w:t>u) Todo funcionario público que tenga por función administrar un patrimonio público o privado, o controlar o fiscalizar los ingresos públicos cualquiera fuera su naturaleza;</w:t>
      </w:r>
      <w:r>
        <w:rPr>
          <w:rFonts w:ascii="Verdana" w:hAnsi="Verdana"/>
          <w:color w:val="000000"/>
          <w:sz w:val="18"/>
          <w:szCs w:val="18"/>
        </w:rPr>
        <w:br/>
      </w:r>
      <w:r>
        <w:rPr>
          <w:rFonts w:ascii="Verdana" w:hAnsi="Verdana"/>
          <w:color w:val="000000"/>
          <w:sz w:val="18"/>
          <w:szCs w:val="18"/>
        </w:rPr>
        <w:br/>
        <w:t>v) Los directores y administradores de las entidades sometidas al control externo del Congreso de la Nación, de conformidad con lo dispuesto en el artículo 120 de la ley 24.156.</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w) Todo el personal de los organismos de inteligencia, sin distinción de grados, sea su situación de revista permanente o transitoria, estará obligado a presentar las declaraciones juradas establecidas por la ley 26.857. </w:t>
      </w:r>
      <w:r>
        <w:rPr>
          <w:rFonts w:ascii="Verdana" w:hAnsi="Verdana"/>
          <w:i/>
          <w:iCs/>
          <w:color w:val="000000"/>
          <w:sz w:val="18"/>
          <w:szCs w:val="18"/>
        </w:rPr>
        <w:t>(Inciso incorporado por art. 26 de la </w:t>
      </w:r>
      <w:hyperlink r:id="rId6" w:history="1">
        <w:r>
          <w:rPr>
            <w:rStyle w:val="Hipervnculo"/>
            <w:rFonts w:ascii="Verdana" w:hAnsi="Verdana"/>
            <w:i/>
            <w:iCs/>
            <w:sz w:val="18"/>
            <w:szCs w:val="18"/>
          </w:rPr>
          <w:t>Ley N° 27.126</w:t>
        </w:r>
      </w:hyperlink>
      <w:r>
        <w:rPr>
          <w:rFonts w:ascii="Verdana" w:hAnsi="Verdana"/>
          <w:i/>
          <w:iCs/>
          <w:color w:val="000000"/>
          <w:sz w:val="18"/>
          <w:szCs w:val="18"/>
        </w:rPr>
        <w:t> B.O. 05/03/2015. Vigencia: a partir del día de su publicación en el Boletín Oficial)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i/>
          <w:iCs/>
          <w:color w:val="000000"/>
          <w:sz w:val="18"/>
          <w:szCs w:val="18"/>
        </w:rPr>
        <w:t>(Artículo sustituido por art. 2° de la </w:t>
      </w:r>
      <w:hyperlink r:id="rId7" w:history="1">
        <w:r>
          <w:rPr>
            <w:rStyle w:val="Hipervnculo"/>
            <w:rFonts w:ascii="Verdana" w:hAnsi="Verdana"/>
            <w:i/>
            <w:iCs/>
            <w:sz w:val="18"/>
            <w:szCs w:val="18"/>
          </w:rPr>
          <w:t>Ley N° 26.857</w:t>
        </w:r>
      </w:hyperlink>
      <w:r>
        <w:rPr>
          <w:rFonts w:ascii="Verdana" w:hAnsi="Verdana"/>
          <w:i/>
          <w:iCs/>
          <w:color w:val="000000"/>
          <w:sz w:val="18"/>
          <w:szCs w:val="18"/>
        </w:rPr>
        <w:t> B.O. 23/5/2013)</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 — La declaración jurada deberá contener una nómina detallada de todos los bienes, propios del declarante, propios de su cónyuge, los que integren la sociedad conyugal, los del conviviente, los que integren en su caso la sociedad de hecho y los de sus hijos menores, en el país o en el extranjero. En especial se detallarán los que se indican a continuación: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 Bienes inmuebles, y las mejoras que se hayan realizado sobre dichos inmuebles;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b) Bienes muebles registrables;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c) Otros bienes muebles, determinando su valor en conjunto. En caso que uno de ellos supere la suma de cinco mil pesos ($ 5.000) deberá ser </w:t>
      </w:r>
      <w:proofErr w:type="gramStart"/>
      <w:r>
        <w:rPr>
          <w:rFonts w:ascii="Verdana" w:hAnsi="Verdana"/>
          <w:color w:val="000000"/>
          <w:sz w:val="18"/>
          <w:szCs w:val="18"/>
        </w:rPr>
        <w:t>individualizado</w:t>
      </w:r>
      <w:proofErr w:type="gramEnd"/>
      <w:r>
        <w:rPr>
          <w:rFonts w:ascii="Verdana" w:hAnsi="Verdana"/>
          <w:color w:val="000000"/>
          <w:sz w:val="18"/>
          <w:szCs w:val="18"/>
        </w:rPr>
        <w:t>;</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d) Capital invertido en títulos, acciones y demás valores cotizables o no en bolsa, o en explotaciones personales o societarias;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 Monto de los depósitos en bancos u otras entidades financieras, de ahorro y provisionales, nacionales o extranjeras, tenencias de dinero en efectivo en moneda nacional o extranjera. En sobre cerrado y lacrado deberá indicarse el nombre del banco o entidad financiera de que se trate y los números de las cuentas corrientes, de cajas de ahorro, cajas de seguridad y tarjetas de crédito y las extensiones que posea. Dicho sobre será reservado y sólo deberá ser entregado a requerimiento de la autoridad señalada en el artículo 19 o de autoridad judicial;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f) Créditos y deudas hipotecarias, prendarias o comunes;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g) Ingresos y egresos anuales derivados del trabajo en relación de dependencia o del ejercicio de actividades independientes y/o profesionales;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h) Ingresos y egresos anuales derivados de rentas o de sistemas previsionales. Si el obligado a presentar la declaración jurada estuviese inscripta en el régimen de impuesto a las ganancias o sobre bienes personales no incorporados al proceso económico, deberá acompañar también la última presentación que hubiese realizado ante la Dirección General Impositiva;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i) En el caso de los incisos a), b), c) y d), del presente artículo, deberá consignarse además el valor y la fecha de adquisición, y el origen de los fondos aplicados a cada adquisición.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lastRenderedPageBreak/>
        <w:t>ARTICULO 7º</w:t>
      </w:r>
      <w:r>
        <w:rPr>
          <w:rFonts w:ascii="Verdana" w:hAnsi="Verdana"/>
          <w:color w:val="000000"/>
          <w:sz w:val="18"/>
          <w:szCs w:val="18"/>
        </w:rPr>
        <w:t xml:space="preserve"> — Las declaraciones juradas quedarán depositadas en los respectivos organismos que deberán remitir, dentro de los treinta días, copia autenticada a la 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 La falta de remisión dentro del plazo establecido, sin causa justificada, será considerada falta grave del funcionario responsable del área.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8º</w:t>
      </w:r>
      <w:r>
        <w:rPr>
          <w:rFonts w:ascii="Verdana" w:hAnsi="Verdana"/>
          <w:color w:val="000000"/>
          <w:sz w:val="18"/>
          <w:szCs w:val="18"/>
        </w:rPr>
        <w:t> — Las personas que no hayan presentado sus declaraciones juradas en el plazo correspondiente, serán intimadas en forma fehaciente por la autoridad responsable de la recepción, para que lo hagan en el plazo de quince días. El incumplimiento de dicha intimación será considerado falta grave y dará lugar a la sanción disciplinaria respectiva, sin perjuicio de las otras sanciones que pudieran corresponder.</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 — Las personas que no hayan presentado su declaración jurada al egresar de la función pública en el plazo correspondiente, serán intimadas en forma fehaciente para que lo hagan en el plazo de quince días.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Si el intimado no cumpliere con la presentación de la declaración, no podrá ejercer nuevamente la función pública, sin perjuicio de las otras sanciones que pudieren corresponder.</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 El listado de las declaraciones juradas de las personas señaladas en el artículo 5º deberá ser publicado en el plazo de noventa días en el Boletín Oficial.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En cualquier tiempo toda persona podrá consultar y obtener copia de las declaraciones juradas presentadas con la debida intervención del organismo que las haya registrado y depositado, previa presentación de una solicitud escrita en la que se indique: a) Nombre y apellido, documento, ocupación y domicilio del solicitante; b) Nombre y domicilio de cualquier otra persona u organización en nombre de la cual se solicita la declaración; c) El objeto que motiva la petición y el destino que se dará al informe; y d) La declaración de que el solicitante tiene conocimiento del contenido del artículo 11 de esta ley referente al uso indebido de la declaración jurada y la sanción prevista para quien la solicite y le dé un uso ilegal.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Las solicitudes presentadas también quedarán a disposición del público en el período durante el cual las declaraciones juradas deban ser conservadas.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 La persona que acceda a una declaración jurada mediante el procedimiento previsto en esta ley, no podrá utilizarla para: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 Cualquier propósito ilegal;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b) Cualquier propósito comercial, exceptuando a los medios de comunicación y noticias para la difusión al público en general;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c) Determinar o establecer la clasificación crediticia de cualquier individuo; 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d) Efectuar en forma directa o indirecta, una solicitud de dinero con fines políticos, benéficos o de otra índole.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Todo uso ilegal de una declaración jurada será pasible de la sanción de multa de quinientos pesos ($ 500) hasta diez mil pesos ($ 10.000). El órgano facultado para aplicar esta sanción será exclusivamente la 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 creada por esta ley. Las sanciones que se impongan por violaciones a lo dispuesto en este artículo serán recurribles judicialmente ante los juzgados de primera instancia en lo Contencioso Administrativo Federal.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reglamentación establecerá un procedimiento sancionatorio que garantice el derecho de defensa de las personas investigadas por la comisión de la infracción prevista en este artículo.</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IV</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Antecedentes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 Aquellos funcionarios cuyo acceso a la función pública no sea un resultado directo del sufragio universal, incluirán en la declaración jurada sus antecedentes laborales al solo efecto de facilitar un mejor control respecto de los posibles conflictos de intereses que puedan plantearse.</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V</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Incompatibilidades y Conflicto de intereses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13.</w:t>
      </w:r>
      <w:r>
        <w:rPr>
          <w:rFonts w:ascii="Verdana" w:hAnsi="Verdana"/>
          <w:color w:val="000000"/>
          <w:sz w:val="18"/>
          <w:szCs w:val="18"/>
        </w:rPr>
        <w:t> — Es incompatible con el ejercicio de la función pública: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lastRenderedPageBreak/>
        <w:t>a) 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la contratación, obtención, gestión o control de tales concesiones, beneficios o actividades;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b) ser proveedor por sí o por terceros de todo organismo del Estado en donde desempeñe sus funciones.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 Aquellos funcionarios que hayan tenido intervención decisoria en la planificación, desarrollo y concreción de privatizaciones o concesiones de empresas o servicios públicos, tendrán vedada su actuación en los entes o comisiones reguladoras de esas empresas o servicios, durante TRES (3) años inmediatamente posteriores a la última adjudicación en la que hayan participado.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i/>
          <w:iCs/>
          <w:color w:val="000000"/>
          <w:sz w:val="18"/>
          <w:szCs w:val="18"/>
        </w:rPr>
        <w:t>(Artículo sustituido por art. 1° del </w:t>
      </w:r>
      <w:hyperlink r:id="rId8" w:history="1">
        <w:r>
          <w:rPr>
            <w:rStyle w:val="Hipervnculo"/>
            <w:rFonts w:ascii="Verdana" w:hAnsi="Verdana"/>
            <w:i/>
            <w:iCs/>
            <w:sz w:val="18"/>
            <w:szCs w:val="18"/>
          </w:rPr>
          <w:t>Decreto N° 862/2001</w:t>
        </w:r>
      </w:hyperlink>
      <w:r>
        <w:rPr>
          <w:rFonts w:ascii="Verdana" w:hAnsi="Verdana"/>
          <w:i/>
          <w:iCs/>
          <w:color w:val="000000"/>
          <w:sz w:val="18"/>
          <w:szCs w:val="18"/>
        </w:rPr>
        <w:t> B.O. 2/7/2001).</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15.</w:t>
      </w:r>
      <w:r>
        <w:rPr>
          <w:rFonts w:ascii="Verdana" w:hAnsi="Verdana"/>
          <w:color w:val="000000"/>
          <w:sz w:val="18"/>
          <w:szCs w:val="18"/>
        </w:rPr>
        <w:t> — En el caso de que al momento de su designación el funcionario se encuentre alcanzado por alguna de las incompatibilidades previstas en el Artículo 13, deberá:</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 Renunciar a tales actividades como condición previa para asumir el cargo.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b) Abstenerse de tomar intervención, durante su gestión, en cuestiones particularmente relacionadas con las personas o asuntos a los cuales estuvo vinculado en los últimos TRES (3) años o tenga participación societaria.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i/>
          <w:iCs/>
          <w:color w:val="000000"/>
          <w:sz w:val="18"/>
          <w:szCs w:val="18"/>
        </w:rPr>
        <w:t>(Artículo sustituido por art. 2° del </w:t>
      </w:r>
      <w:hyperlink r:id="rId9" w:history="1">
        <w:r>
          <w:rPr>
            <w:rStyle w:val="Hipervnculo"/>
            <w:rFonts w:ascii="Verdana" w:hAnsi="Verdana"/>
            <w:i/>
            <w:iCs/>
            <w:sz w:val="18"/>
            <w:szCs w:val="18"/>
          </w:rPr>
          <w:t>Decreto N° 862/2001</w:t>
        </w:r>
      </w:hyperlink>
      <w:r>
        <w:rPr>
          <w:rFonts w:ascii="Verdana" w:hAnsi="Verdana"/>
          <w:i/>
          <w:iCs/>
          <w:color w:val="000000"/>
          <w:sz w:val="18"/>
          <w:szCs w:val="18"/>
        </w:rPr>
        <w:t> B.O. 2/7/2001).</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 Estas incompatibilidades se aplicarán sin perjuicio de las que estén determinadas en el régimen específico de cada función.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 Cuando los actos emitidos por los sujetos del artículo 1º estén alcanzados por los supuestos de los artículos 13, 14 y 15, serán nulos de nulidad absoluta, sin perjuicio de los derechos de terceros de buena fe. Si se tratare del dictado de un acto administrativo, éste se encontrará viciado de nulidad absoluta en los términos del artículo 14 de la ley 19.549.</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Las firmas contratantes o concesionarias serán solidariamente responsables por la reparación de los daños y perjuicios que por esos actos le ocasionen al Estado.</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VI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Régimen de obsequios a funcionarios públicos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 — Los funcionarios públicos no podrán recibir regalos, obsequios o donaciones, sean de cosas, servicios o bienes, con motivo o en ocasión del desempeño de sus funciones. En el caso de que los obsequios sean de cortesía o de costumbre diplomática la autoridad de aplicación reglamentará su registración y en qué casos y cómo deberán ser incorporados al patrimonio del Estado, para ser destinados a fines de salud, acción social y educación o al patrimonio histórico- cultural si correspondiere.</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VII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Prevención sumaria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xml:space="preserve"> — A fin de investigar supuestos de enriquecimiento injustificado en la función pública y de violaciones a los deberes y al régimen de declaraciones juradas e incompatibilidades establecidos en la presente ley, la 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 deberá realizar una prevención sumaria.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 La investigación podrá promoverse por iniciativa de la Comisión, a requerimiento de autoridades superiores del investigado o por denuncia.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reglamentación determinará el procedimiento con el debido resguardo del derecho de defensa.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El investigado deberá ser informado del objeto de la investigación y tendrá derecho a ofrecer la prueba que estime pertinente para el ejercicio de su defensa.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lastRenderedPageBreak/>
        <w:t>ARTICULO 21.</w:t>
      </w:r>
      <w:r>
        <w:rPr>
          <w:rFonts w:ascii="Verdana" w:hAnsi="Verdana"/>
          <w:color w:val="000000"/>
          <w:sz w:val="18"/>
          <w:szCs w:val="18"/>
        </w:rPr>
        <w:t> — Cuando en el curso de la tramitación de la prevención sumaria surgiere la presunción de la comisión de un delito, la comisión deberá poner de inmediato el caso en conocimiento del juez o fiscal competente, remitiéndole los antecedentes reunidos.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instrucción de la prevención sumaria no es un requisito prejudicial para la sustanciación del proceso penal.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 Dentro del plazo de noventa días contados a partir de la publicación de la presente ley, deberá dictarse la reglamentación atinente a la prevención sumaria contemplada en este capítulo.</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VIII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 xml:space="preserve">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i/>
          <w:iCs/>
          <w:color w:val="000000"/>
          <w:sz w:val="18"/>
          <w:szCs w:val="18"/>
        </w:rPr>
        <w:t>(Capítulo derogado por art. 8° de la </w:t>
      </w:r>
      <w:hyperlink r:id="rId10" w:history="1">
        <w:r>
          <w:rPr>
            <w:rStyle w:val="Hipervnculo"/>
            <w:rFonts w:ascii="Verdana" w:hAnsi="Verdana"/>
            <w:i/>
            <w:iCs/>
            <w:sz w:val="18"/>
            <w:szCs w:val="18"/>
          </w:rPr>
          <w:t>Ley N° 26.857</w:t>
        </w:r>
      </w:hyperlink>
      <w:r>
        <w:rPr>
          <w:rFonts w:ascii="Verdana" w:hAnsi="Verdana"/>
          <w:i/>
          <w:iCs/>
          <w:color w:val="000000"/>
          <w:sz w:val="18"/>
          <w:szCs w:val="18"/>
        </w:rPr>
        <w:t> B.O. 23/5/2013)</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 </w:t>
      </w:r>
      <w:r>
        <w:rPr>
          <w:rFonts w:ascii="Verdana" w:hAnsi="Verdana"/>
          <w:i/>
          <w:iCs/>
          <w:color w:val="000000"/>
          <w:sz w:val="18"/>
          <w:szCs w:val="18"/>
        </w:rPr>
        <w:t>(Artículo derogado por art. 8° de la </w:t>
      </w:r>
      <w:hyperlink r:id="rId11" w:history="1">
        <w:r>
          <w:rPr>
            <w:rStyle w:val="Hipervnculo"/>
            <w:rFonts w:ascii="Verdana" w:hAnsi="Verdana"/>
            <w:i/>
            <w:iCs/>
            <w:sz w:val="18"/>
            <w:szCs w:val="18"/>
          </w:rPr>
          <w:t>Ley N° 26.857</w:t>
        </w:r>
      </w:hyperlink>
      <w:r>
        <w:rPr>
          <w:rFonts w:ascii="Verdana" w:hAnsi="Verdana"/>
          <w:i/>
          <w:iCs/>
          <w:color w:val="000000"/>
          <w:sz w:val="18"/>
          <w:szCs w:val="18"/>
        </w:rPr>
        <w:t> B.O. 23/5/2013)</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24.</w:t>
      </w:r>
      <w:r>
        <w:rPr>
          <w:rFonts w:ascii="Verdana" w:hAnsi="Verdana"/>
          <w:color w:val="000000"/>
          <w:sz w:val="18"/>
          <w:szCs w:val="18"/>
        </w:rPr>
        <w:t> — </w:t>
      </w:r>
      <w:r>
        <w:rPr>
          <w:rFonts w:ascii="Verdana" w:hAnsi="Verdana"/>
          <w:i/>
          <w:iCs/>
          <w:color w:val="000000"/>
          <w:sz w:val="18"/>
          <w:szCs w:val="18"/>
        </w:rPr>
        <w:t>(Artículo derogado por art. 8° de la </w:t>
      </w:r>
      <w:hyperlink r:id="rId12" w:history="1">
        <w:r>
          <w:rPr>
            <w:rStyle w:val="Hipervnculo"/>
            <w:rFonts w:ascii="Verdana" w:hAnsi="Verdana"/>
            <w:i/>
            <w:iCs/>
            <w:sz w:val="18"/>
            <w:szCs w:val="18"/>
          </w:rPr>
          <w:t>Ley N° 26.857</w:t>
        </w:r>
      </w:hyperlink>
      <w:r>
        <w:rPr>
          <w:rFonts w:ascii="Verdana" w:hAnsi="Verdana"/>
          <w:i/>
          <w:iCs/>
          <w:color w:val="000000"/>
          <w:sz w:val="18"/>
          <w:szCs w:val="18"/>
        </w:rPr>
        <w:t> B.O. 23/5/2013)</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25.</w:t>
      </w:r>
      <w:r>
        <w:rPr>
          <w:rFonts w:ascii="Verdana" w:hAnsi="Verdana"/>
          <w:color w:val="000000"/>
          <w:sz w:val="18"/>
          <w:szCs w:val="18"/>
        </w:rPr>
        <w:t> — </w:t>
      </w:r>
      <w:r>
        <w:rPr>
          <w:rFonts w:ascii="Verdana" w:hAnsi="Verdana"/>
          <w:i/>
          <w:iCs/>
          <w:color w:val="000000"/>
          <w:sz w:val="18"/>
          <w:szCs w:val="18"/>
        </w:rPr>
        <w:t>(Artículo derogado por art. 8° de la </w:t>
      </w:r>
      <w:hyperlink r:id="rId13" w:history="1">
        <w:r>
          <w:rPr>
            <w:rStyle w:val="Hipervnculo"/>
            <w:rFonts w:ascii="Verdana" w:hAnsi="Verdana"/>
            <w:i/>
            <w:iCs/>
            <w:sz w:val="18"/>
            <w:szCs w:val="18"/>
          </w:rPr>
          <w:t>Ley N° 26.857</w:t>
        </w:r>
      </w:hyperlink>
      <w:r>
        <w:rPr>
          <w:rFonts w:ascii="Verdana" w:hAnsi="Verdana"/>
          <w:i/>
          <w:iCs/>
          <w:color w:val="000000"/>
          <w:sz w:val="18"/>
          <w:szCs w:val="18"/>
        </w:rPr>
        <w:t> B.O. 23/5/2013)</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IX</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Reformas al Código Penal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26.</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23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23: La condena importa la pérdida a favor del Estado nacional, de las provincias o de los Municipios, salvo los derechos de restitución o indemnización del damnificado y de terceros, de las cosas que han servido para cometer el hecho y de las cosas o ganancias que son el producto o el provecho del delito.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Si las cosas son peligrosas para la seguridad común, el comiso puede ordenarse aunque afecte a terceros, salvo el derecho de éstos, si fueren de buena fe, a ser indemnizados.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Cuando el autor o los partícipes han actuado como mandatarios de alguien o como órganos, miembros o administradores de una persona de existencia ideal, y el producto o el provecho del delito ha beneficiado al mandante o a la persona de existencia ideal, el comiso se pronunciará contra éstos.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Cuando con el producto o el provecho del delito se hubiese beneficiado un tercero a título gratuito, el comiso se pronunciará contra éste.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Si el bien decomisado tuviere valor de uso o cultural para algún establecimiento oficial o de bien público, la autoridad nacional, provincial o municipal respectiva podrá disponer su entrega a esas entidades. Si así no fuere y tuviera valor comercial, aquélla dispondrá su enajenación. Si no tuviera valor lícito alguno, se lo destruirá.</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27.</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29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29: La sentencia condenatoria podrá ordenar:</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1. La reposición al estado anterior a la comisión del delito, en cuanto sea posible, disponiendo a ese fin las restituciones y demás medidas necesarias.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2. La indemnización del daño material y moral causado a la víctima, a su familia o a un tercero, fijándose el monto prudencialmente por el juez en defecto de plena prueba.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3. El pago de las costas.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30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Artículo 30: La obligación de indemnizar es preferente a todas las que contrajere el responsable después de cometido el delito, a la ejecución de la pena de decomiso del producto o el provecho del delito y al pago de la multa. Si los </w:t>
      </w:r>
      <w:r>
        <w:rPr>
          <w:rFonts w:ascii="Verdana" w:hAnsi="Verdana"/>
          <w:color w:val="000000"/>
          <w:sz w:val="18"/>
          <w:szCs w:val="18"/>
        </w:rPr>
        <w:lastRenderedPageBreak/>
        <w:t>bienes del condenado no fueren suficientes para cubrir todas sus responsabilidades pecuniarias, éstas se satisfarán en el orden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1. La indemnización de los daños y perjuicios.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2. El resarcimiento de los gastos del juicio.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3. El decomiso del producto o el provecho del delito.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4. El pago de la multa.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67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67: La prescripción se suspende en los casos de los delitos para cuyo juzgamiento sea necesaria la resolución de cuestiones previas o prejudiciales, que deban ser resueltas en otro juicio. Terminada la causa de la suspensión, la prescripción sigue su curso.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prescripción también se suspende en los casos de delitos cometidos en el ejercicio de la función pública, para todos los que hubiesen participado, mientras cualquiera de ellos se encuentre desempeñando un cargo público.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El curso de la prescripción de la acción penal correspondiente a los delitos previstos en los artículos 226 y 227 </w:t>
      </w:r>
      <w:proofErr w:type="gramStart"/>
      <w:r>
        <w:rPr>
          <w:rFonts w:ascii="Verdana" w:hAnsi="Verdana"/>
          <w:color w:val="000000"/>
          <w:sz w:val="18"/>
          <w:szCs w:val="18"/>
        </w:rPr>
        <w:t>bis</w:t>
      </w:r>
      <w:proofErr w:type="gramEnd"/>
      <w:r>
        <w:rPr>
          <w:rFonts w:ascii="Verdana" w:hAnsi="Verdana"/>
          <w:color w:val="000000"/>
          <w:sz w:val="18"/>
          <w:szCs w:val="18"/>
        </w:rPr>
        <w:t>, se suspenderá hasta el restablecimiento del orden constitucional.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prescripción se interrumpe por la comisión de otro delito o por secuela del juicio.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prescripción corre, se suspende o se interrumpe separadamente para cada uno de los partícipes del delito, con la excepción prevista en el segundo párrafo de este artículo.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30.</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la rúbrica del capítulo VI del título XI del libro II del Código Penal, por el siguiente: "Capítulo VI - Cohecho y tráfico de influencias".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31.</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256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256: Será reprimido con reclusión o prisión de uno a seis años e inhabilitación especial perpetua, el funcionario público que por sí o por persona interpuesta, recibiere dinero o cualquier otra dádiva o aceptare una promesa directa o indirecta, para hacer, retardar o dejar de hacer algo relativo a sus funciones.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xml:space="preserve"> — </w:t>
      </w:r>
      <w:proofErr w:type="spellStart"/>
      <w:r>
        <w:rPr>
          <w:rFonts w:ascii="Verdana" w:hAnsi="Verdana"/>
          <w:color w:val="000000"/>
          <w:sz w:val="18"/>
          <w:szCs w:val="18"/>
        </w:rPr>
        <w:t>Incorpórase</w:t>
      </w:r>
      <w:proofErr w:type="spellEnd"/>
      <w:r>
        <w:rPr>
          <w:rFonts w:ascii="Verdana" w:hAnsi="Verdana"/>
          <w:color w:val="000000"/>
          <w:sz w:val="18"/>
          <w:szCs w:val="18"/>
        </w:rPr>
        <w:t xml:space="preserve"> como artículo 256 bis del Código Penal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256 bis: Será reprimido con reclusión o prisión de uno a seis años e inhabilitación especial perpetua para ejercer la función pública, el que por sí o por persona interpuesta solicitare o recibiere dinero o cualquier otra dádiva o aceptare una promesa directa o indirecta, para hacer valer indebidamente su influencia ante un funcionario público, a fin de que éste haga, retarde o deje de hacer algo relativo a sus funciones.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Si aquella conducta estuviera destinada a hacer valer indebidamente una influencia ante un magistrado del Poder Judicial o del Ministerio Público, a fin de obtener la emisión, dictado, demora u omisión de un dictamen, resolución o fallo en asuntos sometidos a su competencia, el máximo de la pena de prisión o reclusión se elevará a doce años.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33.</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257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257: Será reprimido con prisión o reclusión de cuatro a doce años e inhabilitación especial perpetua, el magistrado del Poder Judicial o del Ministerio Público que por sí o por persona interpuesta, recibiere dinero o cualquier otra dádiva o aceptare una promesa directa o indirecta para emitir, dictar, retardar u omitir dictar una resolución, fallo o dictamen, en asuntos sometidos a su competencia.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34</w:t>
      </w:r>
      <w:proofErr w:type="gramStart"/>
      <w:r>
        <w:rPr>
          <w:rFonts w:ascii="Verdana" w:hAnsi="Verdana"/>
          <w:b/>
          <w:bCs/>
          <w:color w:val="000000"/>
          <w:sz w:val="18"/>
          <w:szCs w:val="18"/>
        </w:rPr>
        <w:t>.</w:t>
      </w:r>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258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Artículo 258: Será reprimido con prisión de uno a seis años, el que directa o indirectamente diere u ofreciere dádivas en procura de alguna de las conductas reprimidas por los artículos 256 y 256 </w:t>
      </w:r>
      <w:proofErr w:type="gramStart"/>
      <w:r>
        <w:rPr>
          <w:rFonts w:ascii="Verdana" w:hAnsi="Verdana"/>
          <w:color w:val="000000"/>
          <w:sz w:val="18"/>
          <w:szCs w:val="18"/>
        </w:rPr>
        <w:t>bis</w:t>
      </w:r>
      <w:proofErr w:type="gramEnd"/>
      <w:r>
        <w:rPr>
          <w:rFonts w:ascii="Verdana" w:hAnsi="Verdana"/>
          <w:color w:val="000000"/>
          <w:sz w:val="18"/>
          <w:szCs w:val="18"/>
        </w:rPr>
        <w:t>, primer párrafo. Si la dádiva se hiciere u ofreciere con el fin de obtener alguna de las conductas tipificadas en los artículos 256 bis, segundo párrafo y 257, la pena será de reclusión o prisión de dos a seis años. Si el culpable fuere funcionario público, sufrirá además inhabilitación especial de dos a seis años en el primer caso y de tres a diez años en el segundo.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lastRenderedPageBreak/>
        <w:t>ARTICULO 35.</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265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265: Será reprimido con reclusión o prisión de uno a seis años e inhabilitación especial perpetua, el funcionario público que, directamente, por persona interpuesta o por acto simulado, se interesare en miras de un beneficio propio o de un tercero, en cualquier contrato u operación en que intervenga en razón de su cargo.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Esta disposición será aplicable a los árbitros, amigables componedores, peritos, contadores, tutores, curadores, albaceas, síndicos y liquidadores, con respecto a las funciones cumplidas en el carácter de tales.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36.</w:t>
      </w:r>
      <w:r>
        <w:rPr>
          <w:rFonts w:ascii="Verdana" w:hAnsi="Verdana"/>
          <w:color w:val="000000"/>
          <w:sz w:val="18"/>
          <w:szCs w:val="18"/>
        </w:rPr>
        <w:t xml:space="preserve"> — </w:t>
      </w:r>
      <w:proofErr w:type="spellStart"/>
      <w:r>
        <w:rPr>
          <w:rFonts w:ascii="Verdana" w:hAnsi="Verdana"/>
          <w:color w:val="000000"/>
          <w:sz w:val="18"/>
          <w:szCs w:val="18"/>
        </w:rPr>
        <w:t>Incorpórase</w:t>
      </w:r>
      <w:proofErr w:type="spellEnd"/>
      <w:r>
        <w:rPr>
          <w:rFonts w:ascii="Verdana" w:hAnsi="Verdana"/>
          <w:color w:val="000000"/>
          <w:sz w:val="18"/>
          <w:szCs w:val="18"/>
        </w:rPr>
        <w:t xml:space="preserve"> como artículo 258 bis del Código Penal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proofErr w:type="spellStart"/>
      <w:r>
        <w:rPr>
          <w:rFonts w:ascii="Verdana" w:hAnsi="Verdana"/>
          <w:color w:val="000000"/>
          <w:sz w:val="18"/>
          <w:szCs w:val="18"/>
        </w:rPr>
        <w:t>Articulo</w:t>
      </w:r>
      <w:proofErr w:type="spellEnd"/>
      <w:r>
        <w:rPr>
          <w:rFonts w:ascii="Verdana" w:hAnsi="Verdana"/>
          <w:color w:val="000000"/>
          <w:sz w:val="18"/>
          <w:szCs w:val="18"/>
        </w:rPr>
        <w:t xml:space="preserve"> 258 bis: Será reprimido con reclusión de uno a seis años e inhabilitación especial perpetua para ejercer la función pública, el que ofreciere u otorgare a un funcionario público de otro Estado, directa o indirectamente, cualquier objeto de valor pecuniario u otros beneficios como dádivas, favores, promesas o ventajas, a cambio de que dicho funcionario realice u omita realizar un acto en el ejercicio de sus funciones públicas, relacionados con una transacción de naturaleza económica o comercial.</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266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266: Será reprimido con prisión de uno a cuatro años e inhabilitación especial de uno a cinco años, el funcionario público que, abusando de su cargo, solicitare, exigiere o hiciere pagar o entregar indebidamente, por sí o por interpuesta persona, una contribución, un derecho o una dádiva o cobrase mayores derechos que los que corresponden.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xml:space="preserve"> —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268 (2) del Código Penal por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268 (2): Será reprimido con reclusión o prisión de dos a seis años, multa del cincuenta por ciento al ciento por ciento del valor del enriquecimiento e inhabilitación absoluta perpetua, el que al ser debidamente requerido, no justificare la procedencia de un enriquecimiento patrimonial apreciable suyo o de persona interpuesta para disimularlo, ocurrido con posterioridad a la asunción de un cargo o empleo público y hasta dos años después de haber cesado en su desempeño.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Se entenderá que hubo enriquecimiento no sólo cuando el patrimonio se hubiese incrementado con dinero, cosas o bienes, sino también cuando se hubiesen cancelado deudas o </w:t>
      </w:r>
      <w:proofErr w:type="gramStart"/>
      <w:r>
        <w:rPr>
          <w:rFonts w:ascii="Verdana" w:hAnsi="Verdana"/>
          <w:color w:val="000000"/>
          <w:sz w:val="18"/>
          <w:szCs w:val="18"/>
        </w:rPr>
        <w:t>extinguido obligaciones</w:t>
      </w:r>
      <w:proofErr w:type="gramEnd"/>
      <w:r>
        <w:rPr>
          <w:rFonts w:ascii="Verdana" w:hAnsi="Verdana"/>
          <w:color w:val="000000"/>
          <w:sz w:val="18"/>
          <w:szCs w:val="18"/>
        </w:rPr>
        <w:t xml:space="preserve"> que lo afectaban.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persona interpuesta para disimular el enriquecimiento será reprimida con la misma pena que el autor del hecho.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39.</w:t>
      </w:r>
      <w:r>
        <w:rPr>
          <w:rFonts w:ascii="Verdana" w:hAnsi="Verdana"/>
          <w:color w:val="000000"/>
          <w:sz w:val="18"/>
          <w:szCs w:val="18"/>
        </w:rPr>
        <w:t xml:space="preserve"> — </w:t>
      </w:r>
      <w:proofErr w:type="spellStart"/>
      <w:r>
        <w:rPr>
          <w:rFonts w:ascii="Verdana" w:hAnsi="Verdana"/>
          <w:color w:val="000000"/>
          <w:sz w:val="18"/>
          <w:szCs w:val="18"/>
        </w:rPr>
        <w:t>Incorpórase</w:t>
      </w:r>
      <w:proofErr w:type="spellEnd"/>
      <w:r>
        <w:rPr>
          <w:rFonts w:ascii="Verdana" w:hAnsi="Verdana"/>
          <w:color w:val="000000"/>
          <w:sz w:val="18"/>
          <w:szCs w:val="18"/>
        </w:rPr>
        <w:t xml:space="preserve"> como artículo 268 (3) del Código Penal el siguiente:</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Artículo 268 (3): Será reprimido con prisión de quince días a dos años e inhabilitación especial perpetua el que, en razón de su cargo, estuviere obligado por ley a presentar una declaración jurada patrimonial y omitiere maliciosamente hacerlo.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El delito se configurará cuando mediando notificación fehaciente de la intimación respectiva, el sujeto obligado no hubiere dado cumplimiento a los deberes aludidos dentro de los plazos que fije la ley cuya aplicación corresponda.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En la misma pena incurrirá el que maliciosamente, falseare u omitiere insertar los datos que las referidas declaraciones juradas deban contener de conformidad con las leyes y reglamentos aplicables.</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X</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Publicidad y divulgación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xml:space="preserve"> — La 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 y las autoridades de aplicación en su caso, podrán dar a publicidad por los medios que consideren necesarios, de acuerdo a las características de cada caso y a las normas que rigen el mismo, las conclusiones arribadas sobre la producción de un acto que se considere violatorio de la ética pública.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41.</w:t>
      </w:r>
      <w:r>
        <w:rPr>
          <w:rFonts w:ascii="Verdana" w:hAnsi="Verdana"/>
          <w:color w:val="000000"/>
          <w:sz w:val="18"/>
          <w:szCs w:val="18"/>
        </w:rPr>
        <w:t> — Las autoridades de aplicación promoverán programas permanentes de capacitación y de divulgación del contenido de la presente ley y sus normas reglamentarias, para que las personas involucradas sean debidamente informadas.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 enseñanza de la ética pública se instrumentará como un contenido específico de todos los niveles educativos.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lastRenderedPageBreak/>
        <w:t>ARTICULO 42.</w:t>
      </w:r>
      <w:r>
        <w:rPr>
          <w:rFonts w:ascii="Verdana" w:hAnsi="Verdana"/>
          <w:color w:val="000000"/>
          <w:sz w:val="18"/>
          <w:szCs w:val="18"/>
        </w:rPr>
        <w:t> — La publicidad de los actos, programas, obras, servicios y campañas de los órganos públicos deberá tener carácter educativo, informativo o de orientación social, no pudiendo constar en ella, nombres, símbolos o imágenes que supongan promoción personal de las autoridades o funcionarios públicos.</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CAPITULO XI</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Vigencia y disposiciones transitorias</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43.</w:t>
      </w:r>
      <w:r>
        <w:rPr>
          <w:rFonts w:ascii="Verdana" w:hAnsi="Verdana"/>
          <w:color w:val="000000"/>
          <w:sz w:val="18"/>
          <w:szCs w:val="18"/>
        </w:rPr>
        <w:t> — Las normas contenidas en los Capítulos I, II, V, VI, VIII, IX y X de la presente ley entrarán en vigencia a los ocho días de su publicación.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Las normas contenidas en los Capítulos III y IV de la presente ley entrarán en vigencia a los treinta días de su publicación.</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Las normas contenidas en el Capítulo VII regirán a los noventa días de la publicación de la ley, o desde la fecha en que entre en vigencia la reglamentación mencionada en el artículo 22 si fuere anterior a la del cumplimiento de aquel plazo.</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 Los magistrados, funcionarios y empleados públicos alcanzados por el régimen de declaraciones juradas establecido en la presente ley, que se encontraren en funciones a la fecha en que el régimen se ponga en vigencia, deberán cumplir con las presentaciones dentro de los treinta días siguientes a dicha fecha.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 Los funcionarios y empleados públicos que se encuentren comprendidos en el régimen de incompatibilidades establecido por la presente ley a la fecha de entrada en vigencia de dicho régimen, deberán optar entre el desempeño de su cargo y la actividad incompatible, dentro de los treinta días siguientes a dicha fecha.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xml:space="preserve"> — La Comisión Nacional de </w:t>
      </w:r>
      <w:proofErr w:type="spellStart"/>
      <w:r>
        <w:rPr>
          <w:rFonts w:ascii="Verdana" w:hAnsi="Verdana"/>
          <w:color w:val="000000"/>
          <w:sz w:val="18"/>
          <w:szCs w:val="18"/>
        </w:rPr>
        <w:t>Etica</w:t>
      </w:r>
      <w:proofErr w:type="spellEnd"/>
      <w:r>
        <w:rPr>
          <w:rFonts w:ascii="Verdana" w:hAnsi="Verdana"/>
          <w:color w:val="000000"/>
          <w:sz w:val="18"/>
          <w:szCs w:val="18"/>
        </w:rPr>
        <w:t xml:space="preserve"> Pública tomará a su cargo la documentación que existiera en virtud de lo dispuesto por los decretos 7843/53, 1639/89 y 494/95. </w:t>
      </w:r>
      <w:proofErr w:type="spellStart"/>
      <w:r>
        <w:rPr>
          <w:rFonts w:ascii="Verdana" w:hAnsi="Verdana"/>
          <w:color w:val="000000"/>
          <w:sz w:val="18"/>
          <w:szCs w:val="18"/>
        </w:rPr>
        <w:t>Derógase</w:t>
      </w:r>
      <w:proofErr w:type="spellEnd"/>
      <w:r>
        <w:rPr>
          <w:rFonts w:ascii="Verdana" w:hAnsi="Verdana"/>
          <w:color w:val="000000"/>
          <w:sz w:val="18"/>
          <w:szCs w:val="18"/>
        </w:rPr>
        <w:t xml:space="preserve"> el decreto 494/95.</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47.</w:t>
      </w:r>
      <w:r>
        <w:rPr>
          <w:rFonts w:ascii="Verdana" w:hAnsi="Verdana"/>
          <w:color w:val="000000"/>
          <w:sz w:val="18"/>
          <w:szCs w:val="18"/>
        </w:rPr>
        <w:t> — Se invita a las provincias al Gobierno Autónomo de la Ciudad de Buenos Aires para que dicten normas sobre regímenes de declaraciones juradas, obsequios e incompatibilidades vinculadas con la ética de la función pública.</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 Comuníquese al Poder Ejecutivo. DADA EN LA SALA DE SESIONES DEL CONGRESO ARGENTINO, EN BUENOS AIRES, LOS VEINTINUEVE DIAS DEL MES DE SEPTIEMBRE DEL AÑO MIL NOVECIENTOS NOVENTA Y NUEVE.</w:t>
      </w:r>
    </w:p>
    <w:p w:rsidR="00402961" w:rsidRDefault="00402961" w:rsidP="00402961">
      <w:pPr>
        <w:pStyle w:val="NormalWeb"/>
        <w:spacing w:before="150" w:beforeAutospacing="0" w:after="300" w:afterAutospacing="0"/>
        <w:jc w:val="center"/>
        <w:rPr>
          <w:rFonts w:ascii="Verdana" w:hAnsi="Verdana"/>
          <w:color w:val="000000"/>
          <w:sz w:val="18"/>
          <w:szCs w:val="18"/>
        </w:rPr>
      </w:pPr>
      <w:r>
        <w:rPr>
          <w:rFonts w:ascii="Verdana" w:hAnsi="Verdana"/>
          <w:color w:val="000000"/>
          <w:sz w:val="18"/>
          <w:szCs w:val="18"/>
        </w:rPr>
        <w:t>—REGISTRADO BAJO EL Nº 25.188 —</w:t>
      </w:r>
    </w:p>
    <w:p w:rsidR="00402961" w:rsidRDefault="00402961" w:rsidP="00402961">
      <w:pPr>
        <w:pStyle w:val="NormalWeb"/>
        <w:spacing w:before="150" w:beforeAutospacing="0" w:after="300" w:afterAutospacing="0"/>
        <w:jc w:val="both"/>
        <w:rPr>
          <w:rFonts w:ascii="Verdana" w:hAnsi="Verdana"/>
          <w:color w:val="000000"/>
          <w:sz w:val="18"/>
          <w:szCs w:val="18"/>
        </w:rPr>
      </w:pPr>
      <w:r>
        <w:rPr>
          <w:rFonts w:ascii="Verdana" w:hAnsi="Verdana"/>
          <w:color w:val="000000"/>
          <w:sz w:val="18"/>
          <w:szCs w:val="18"/>
        </w:rPr>
        <w:t xml:space="preserve">ALBERTO R. PIERRI. — CARLOS F. RUCKAUF. — Esther H.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 — Juan Estrada.</w:t>
      </w:r>
    </w:p>
    <w:p w:rsidR="00857399" w:rsidRDefault="00857399" w:rsidP="00402961"/>
    <w:sectPr w:rsidR="00857399" w:rsidSect="00402961">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61"/>
    <w:rsid w:val="00384FD6"/>
    <w:rsid w:val="00402961"/>
    <w:rsid w:val="008573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9FE3E-3E5D-4AA7-BC60-EF689246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296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02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ios.infoleg.gob.ar/infolegInternet/verNorma.do?id=67625" TargetMode="External"/><Relationship Id="rId13" Type="http://schemas.openxmlformats.org/officeDocument/2006/relationships/hyperlink" Target="https://servicios.infoleg.gob.ar/infolegInternet/verNorma.do?id=215002" TargetMode="External"/><Relationship Id="rId3" Type="http://schemas.openxmlformats.org/officeDocument/2006/relationships/webSettings" Target="webSettings.xml"/><Relationship Id="rId7" Type="http://schemas.openxmlformats.org/officeDocument/2006/relationships/hyperlink" Target="https://servicios.infoleg.gob.ar/infolegInternet/verNorma.do?id=215002" TargetMode="External"/><Relationship Id="rId12" Type="http://schemas.openxmlformats.org/officeDocument/2006/relationships/hyperlink" Target="https://servicios.infoleg.gob.ar/infolegInternet/verNorma.do?id=215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ios.infoleg.gob.ar/infolegInternet/verNorma.do?id=243821" TargetMode="External"/><Relationship Id="rId11" Type="http://schemas.openxmlformats.org/officeDocument/2006/relationships/hyperlink" Target="https://servicios.infoleg.gob.ar/infolegInternet/verNorma.do?id=215002" TargetMode="External"/><Relationship Id="rId5" Type="http://schemas.openxmlformats.org/officeDocument/2006/relationships/hyperlink" Target="https://servicios.infoleg.gob.ar/infolegInternet/verNorma.do?id=274408" TargetMode="External"/><Relationship Id="rId15" Type="http://schemas.openxmlformats.org/officeDocument/2006/relationships/theme" Target="theme/theme1.xml"/><Relationship Id="rId10" Type="http://schemas.openxmlformats.org/officeDocument/2006/relationships/hyperlink" Target="https://servicios.infoleg.gob.ar/infolegInternet/verNorma.do?id=215002" TargetMode="External"/><Relationship Id="rId4" Type="http://schemas.openxmlformats.org/officeDocument/2006/relationships/hyperlink" Target="https://servicios.infoleg.gob.ar/infolegInternet/verNorma.do?id=274408" TargetMode="External"/><Relationship Id="rId9" Type="http://schemas.openxmlformats.org/officeDocument/2006/relationships/hyperlink" Target="https://servicios.infoleg.gob.ar/infolegInternet/verNorma.do?id=6762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5005</Words>
  <Characters>27533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RRHH</dc:creator>
  <cp:keywords/>
  <dc:description/>
  <cp:lastModifiedBy>RRHH</cp:lastModifiedBy>
  <cp:revision>2</cp:revision>
  <dcterms:created xsi:type="dcterms:W3CDTF">2023-11-16T15:19:00Z</dcterms:created>
  <dcterms:modified xsi:type="dcterms:W3CDTF">2023-11-16T15:19:00Z</dcterms:modified>
</cp:coreProperties>
</file>